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4C" w:rsidRPr="00B42C52" w:rsidRDefault="00D1194C" w:rsidP="00D1194C">
      <w:pPr>
        <w:jc w:val="center"/>
        <w:rPr>
          <w:b/>
          <w:bCs/>
          <w:szCs w:val="28"/>
          <w:lang w:val="uk-UA"/>
        </w:rPr>
      </w:pPr>
      <w:r w:rsidRPr="00B42C52">
        <w:rPr>
          <w:b/>
          <w:bCs/>
          <w:szCs w:val="28"/>
          <w:lang w:val="uk-UA"/>
        </w:rPr>
        <w:t xml:space="preserve">Звіт про відстеження результативності </w:t>
      </w:r>
    </w:p>
    <w:p w:rsidR="00D1194C" w:rsidRPr="00B42C52" w:rsidRDefault="00D1194C" w:rsidP="00D1194C">
      <w:pPr>
        <w:jc w:val="center"/>
        <w:rPr>
          <w:b/>
          <w:bCs/>
          <w:szCs w:val="28"/>
          <w:lang w:val="uk-UA"/>
        </w:rPr>
      </w:pPr>
      <w:r w:rsidRPr="00B42C52">
        <w:rPr>
          <w:b/>
          <w:bCs/>
          <w:szCs w:val="28"/>
          <w:lang w:val="uk-UA"/>
        </w:rPr>
        <w:t>регуляторного акту</w:t>
      </w:r>
    </w:p>
    <w:p w:rsidR="00D1194C" w:rsidRPr="00B42C52" w:rsidRDefault="00D1194C" w:rsidP="00D1194C">
      <w:pPr>
        <w:jc w:val="center"/>
        <w:rPr>
          <w:b/>
          <w:bCs/>
          <w:szCs w:val="28"/>
          <w:lang w:val="uk-UA"/>
        </w:rPr>
      </w:pP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  <w:t>.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2470"/>
        <w:gridCol w:w="7380"/>
      </w:tblGrid>
      <w:tr w:rsidR="00D1194C" w:rsidRPr="00B42C52" w:rsidTr="006C093D">
        <w:tc>
          <w:tcPr>
            <w:tcW w:w="518" w:type="dxa"/>
          </w:tcPr>
          <w:p w:rsidR="00D1194C" w:rsidRPr="00B42C52" w:rsidRDefault="00D1194C" w:rsidP="006C09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B42C52">
              <w:rPr>
                <w:b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70" w:type="dxa"/>
          </w:tcPr>
          <w:p w:rsidR="00D1194C" w:rsidRPr="00B42C52" w:rsidRDefault="00D1194C" w:rsidP="006C09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B42C52">
              <w:rPr>
                <w:b/>
                <w:bCs/>
                <w:sz w:val="26"/>
                <w:szCs w:val="26"/>
                <w:lang w:val="uk-UA"/>
              </w:rPr>
              <w:t>У звіті зазначається</w:t>
            </w:r>
          </w:p>
        </w:tc>
        <w:tc>
          <w:tcPr>
            <w:tcW w:w="7380" w:type="dxa"/>
          </w:tcPr>
          <w:p w:rsidR="00D1194C" w:rsidRPr="00B42C52" w:rsidRDefault="00D1194C" w:rsidP="006C09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B42C52">
              <w:rPr>
                <w:b/>
                <w:bCs/>
                <w:sz w:val="26"/>
                <w:szCs w:val="26"/>
                <w:lang w:val="uk-UA"/>
              </w:rPr>
              <w:t>Опис</w:t>
            </w:r>
          </w:p>
        </w:tc>
      </w:tr>
      <w:tr w:rsidR="00D1194C" w:rsidRPr="00B42C52" w:rsidTr="006C093D">
        <w:tc>
          <w:tcPr>
            <w:tcW w:w="518" w:type="dxa"/>
          </w:tcPr>
          <w:p w:rsidR="00D1194C" w:rsidRPr="00B42C52" w:rsidRDefault="00D1194C" w:rsidP="006C093D">
            <w:pPr>
              <w:jc w:val="center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470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7380" w:type="dxa"/>
          </w:tcPr>
          <w:p w:rsidR="00D1194C" w:rsidRDefault="00F92386" w:rsidP="006C093D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Проект рішення</w:t>
            </w:r>
            <w:r w:rsidR="00D1194C" w:rsidRPr="00B42C52">
              <w:rPr>
                <w:b/>
                <w:sz w:val="26"/>
                <w:szCs w:val="26"/>
                <w:lang w:val="uk-UA"/>
              </w:rPr>
              <w:t xml:space="preserve"> </w:t>
            </w:r>
            <w:r w:rsidR="00D1194C">
              <w:rPr>
                <w:b/>
                <w:sz w:val="26"/>
                <w:szCs w:val="26"/>
                <w:lang w:val="uk-UA"/>
              </w:rPr>
              <w:t>сільської</w:t>
            </w:r>
            <w:r w:rsidR="00D1194C" w:rsidRPr="00B42C52">
              <w:rPr>
                <w:b/>
                <w:sz w:val="26"/>
                <w:szCs w:val="26"/>
                <w:lang w:val="uk-UA"/>
              </w:rPr>
              <w:t xml:space="preserve"> ради „Про встановлення </w:t>
            </w:r>
            <w:r w:rsidR="00D1194C">
              <w:rPr>
                <w:b/>
                <w:sz w:val="26"/>
                <w:szCs w:val="26"/>
                <w:lang w:val="uk-UA"/>
              </w:rPr>
              <w:t xml:space="preserve">ставок </w:t>
            </w:r>
            <w:r w:rsidR="00D1194C" w:rsidRPr="00B42C52">
              <w:rPr>
                <w:b/>
                <w:sz w:val="26"/>
                <w:szCs w:val="26"/>
                <w:lang w:val="uk-UA"/>
              </w:rPr>
              <w:t>податку на нерухоме майно, відмінне від земельної ділянки ”</w:t>
            </w:r>
          </w:p>
          <w:p w:rsidR="00D1194C" w:rsidRPr="007642D2" w:rsidRDefault="00D1194C" w:rsidP="00F9238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 </w:t>
            </w:r>
            <w:r w:rsidR="00F92386">
              <w:rPr>
                <w:sz w:val="26"/>
                <w:szCs w:val="26"/>
                <w:lang w:val="uk-UA"/>
              </w:rPr>
              <w:t>27.09.2011 року №10/11</w:t>
            </w:r>
          </w:p>
        </w:tc>
      </w:tr>
      <w:tr w:rsidR="00D1194C" w:rsidRPr="00F92386" w:rsidTr="006C093D">
        <w:tc>
          <w:tcPr>
            <w:tcW w:w="518" w:type="dxa"/>
          </w:tcPr>
          <w:p w:rsidR="00D1194C" w:rsidRPr="00B42C52" w:rsidRDefault="00D1194C" w:rsidP="006C093D">
            <w:pPr>
              <w:jc w:val="center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470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Назва виконавця заходів з відстеження</w:t>
            </w:r>
          </w:p>
        </w:tc>
        <w:tc>
          <w:tcPr>
            <w:tcW w:w="7380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Постійна комісія з питань планування, місцевого бюджету, фінансів, соціально-економічного та культурного розвитку сільської ради, земельних відносин та охорони навколишнього середовища</w:t>
            </w:r>
          </w:p>
        </w:tc>
      </w:tr>
      <w:tr w:rsidR="00D1194C" w:rsidRPr="00B42C52" w:rsidTr="006C093D">
        <w:tc>
          <w:tcPr>
            <w:tcW w:w="518" w:type="dxa"/>
          </w:tcPr>
          <w:p w:rsidR="00D1194C" w:rsidRPr="00B42C52" w:rsidRDefault="00D1194C" w:rsidP="006C093D">
            <w:pPr>
              <w:jc w:val="center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2470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Цілі прийняття акта</w:t>
            </w:r>
          </w:p>
        </w:tc>
        <w:tc>
          <w:tcPr>
            <w:tcW w:w="7380" w:type="dxa"/>
          </w:tcPr>
          <w:p w:rsidR="00D1194C" w:rsidRPr="00B42C52" w:rsidRDefault="00D1194C" w:rsidP="006C093D">
            <w:pPr>
              <w:jc w:val="both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- дотримання вимог Податкового кодексу в частині встановлення податку на нерухоме майно, відмінне від земельної ділянки, як обов’язкового податку;</w:t>
            </w:r>
          </w:p>
          <w:p w:rsidR="00D1194C" w:rsidRPr="00B42C52" w:rsidRDefault="00D1194C" w:rsidP="006C093D">
            <w:pPr>
              <w:jc w:val="both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- зміцнення ресурсної бази місцевого бюджету (збільшення надходжень до місцевого бюджету);</w:t>
            </w:r>
          </w:p>
          <w:p w:rsidR="00D1194C" w:rsidRPr="00B42C52" w:rsidRDefault="00D1194C" w:rsidP="006C093D">
            <w:pPr>
              <w:jc w:val="both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- спрямування отриманих коштів на вирішення соціальних проблем населення та покращення інфраструктури міста.</w:t>
            </w:r>
            <w:r w:rsidRPr="00B42C52">
              <w:rPr>
                <w:sz w:val="26"/>
                <w:szCs w:val="26"/>
              </w:rPr>
              <w:t> </w:t>
            </w:r>
          </w:p>
        </w:tc>
      </w:tr>
      <w:tr w:rsidR="00D1194C" w:rsidRPr="00B42C52" w:rsidTr="006C093D">
        <w:tc>
          <w:tcPr>
            <w:tcW w:w="518" w:type="dxa"/>
          </w:tcPr>
          <w:p w:rsidR="00D1194C" w:rsidRPr="00B42C52" w:rsidRDefault="00D1194C" w:rsidP="006C093D">
            <w:pPr>
              <w:jc w:val="center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2470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Строк виконання заходів з відстеження</w:t>
            </w:r>
          </w:p>
        </w:tc>
        <w:tc>
          <w:tcPr>
            <w:tcW w:w="7380" w:type="dxa"/>
          </w:tcPr>
          <w:p w:rsidR="00D1194C" w:rsidRPr="00B42C52" w:rsidRDefault="00D1194C" w:rsidP="00F92386">
            <w:pPr>
              <w:pStyle w:val="a3"/>
              <w:rPr>
                <w:b/>
                <w:sz w:val="26"/>
                <w:szCs w:val="26"/>
              </w:rPr>
            </w:pPr>
            <w:r w:rsidRPr="00B42C52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42C52">
              <w:rPr>
                <w:b/>
                <w:sz w:val="26"/>
                <w:szCs w:val="26"/>
              </w:rPr>
              <w:t>з</w:t>
            </w:r>
            <w:proofErr w:type="spellEnd"/>
            <w:r w:rsidRPr="00B42C52">
              <w:rPr>
                <w:b/>
                <w:sz w:val="26"/>
                <w:szCs w:val="26"/>
              </w:rPr>
              <w:t xml:space="preserve"> </w:t>
            </w:r>
            <w:r w:rsidR="00F92386">
              <w:rPr>
                <w:b/>
                <w:sz w:val="26"/>
                <w:szCs w:val="26"/>
                <w:lang w:val="uk-UA"/>
              </w:rPr>
              <w:t>01</w:t>
            </w:r>
            <w:r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  <w:lang w:val="uk-UA"/>
              </w:rPr>
              <w:t>1</w:t>
            </w:r>
            <w:r w:rsidR="00F92386">
              <w:rPr>
                <w:b/>
                <w:sz w:val="26"/>
                <w:szCs w:val="26"/>
                <w:lang w:val="uk-UA"/>
              </w:rPr>
              <w:t>0</w:t>
            </w:r>
            <w:r w:rsidRPr="00B42C52">
              <w:rPr>
                <w:b/>
                <w:sz w:val="26"/>
                <w:szCs w:val="26"/>
              </w:rPr>
              <w:t>.20</w:t>
            </w:r>
            <w:r>
              <w:rPr>
                <w:b/>
                <w:sz w:val="26"/>
                <w:szCs w:val="26"/>
                <w:lang w:val="uk-UA"/>
              </w:rPr>
              <w:t>11</w:t>
            </w:r>
            <w:r w:rsidRPr="00B42C52">
              <w:rPr>
                <w:b/>
                <w:sz w:val="26"/>
                <w:szCs w:val="26"/>
              </w:rPr>
              <w:t xml:space="preserve"> року по </w:t>
            </w:r>
            <w:r w:rsidR="00F92386">
              <w:rPr>
                <w:b/>
                <w:sz w:val="26"/>
                <w:szCs w:val="26"/>
                <w:lang w:val="uk-UA"/>
              </w:rPr>
              <w:t>10</w:t>
            </w:r>
            <w:r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  <w:lang w:val="uk-UA"/>
              </w:rPr>
              <w:t>1</w:t>
            </w:r>
            <w:r w:rsidR="00F92386">
              <w:rPr>
                <w:b/>
                <w:sz w:val="26"/>
                <w:szCs w:val="26"/>
                <w:lang w:val="uk-UA"/>
              </w:rPr>
              <w:t>0</w:t>
            </w:r>
            <w:r w:rsidRPr="00B42C52">
              <w:rPr>
                <w:b/>
                <w:sz w:val="26"/>
                <w:szCs w:val="26"/>
              </w:rPr>
              <w:t>.20</w:t>
            </w:r>
            <w:r>
              <w:rPr>
                <w:b/>
                <w:sz w:val="26"/>
                <w:szCs w:val="26"/>
                <w:lang w:val="uk-UA"/>
              </w:rPr>
              <w:t>11</w:t>
            </w:r>
            <w:r w:rsidRPr="00B42C52">
              <w:rPr>
                <w:b/>
                <w:sz w:val="26"/>
                <w:szCs w:val="26"/>
              </w:rPr>
              <w:t>року</w:t>
            </w:r>
          </w:p>
        </w:tc>
      </w:tr>
      <w:tr w:rsidR="00D1194C" w:rsidRPr="00B42C52" w:rsidTr="006C093D">
        <w:tc>
          <w:tcPr>
            <w:tcW w:w="518" w:type="dxa"/>
          </w:tcPr>
          <w:p w:rsidR="00D1194C" w:rsidRPr="00B42C52" w:rsidRDefault="00D1194C" w:rsidP="006C093D">
            <w:pPr>
              <w:jc w:val="center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2470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7380" w:type="dxa"/>
          </w:tcPr>
          <w:p w:rsidR="00D1194C" w:rsidRPr="00B42C52" w:rsidRDefault="00D1194C" w:rsidP="006C093D">
            <w:pPr>
              <w:rPr>
                <w:b/>
                <w:sz w:val="26"/>
                <w:szCs w:val="26"/>
                <w:lang w:val="uk-UA"/>
              </w:rPr>
            </w:pPr>
            <w:r w:rsidRPr="00B42C52">
              <w:rPr>
                <w:b/>
                <w:sz w:val="26"/>
                <w:szCs w:val="26"/>
                <w:lang w:val="uk-UA"/>
              </w:rPr>
              <w:t>Базове відстеження</w:t>
            </w:r>
          </w:p>
        </w:tc>
      </w:tr>
      <w:tr w:rsidR="00D1194C" w:rsidRPr="00B42C52" w:rsidTr="006C093D">
        <w:tc>
          <w:tcPr>
            <w:tcW w:w="518" w:type="dxa"/>
          </w:tcPr>
          <w:p w:rsidR="00D1194C" w:rsidRPr="00B42C52" w:rsidRDefault="00D1194C" w:rsidP="006C093D">
            <w:pPr>
              <w:jc w:val="center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2470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7380" w:type="dxa"/>
          </w:tcPr>
          <w:p w:rsidR="00D1194C" w:rsidRPr="00B42C52" w:rsidRDefault="00D1194C" w:rsidP="006C093D">
            <w:pPr>
              <w:ind w:firstLine="748"/>
              <w:jc w:val="both"/>
              <w:rPr>
                <w:sz w:val="26"/>
                <w:szCs w:val="26"/>
              </w:rPr>
            </w:pPr>
            <w:r w:rsidRPr="00B42C52">
              <w:rPr>
                <w:sz w:val="26"/>
                <w:szCs w:val="26"/>
                <w:lang w:val="uk-UA"/>
              </w:rPr>
              <w:t>Для проведення відстежен</w:t>
            </w:r>
            <w:r>
              <w:rPr>
                <w:sz w:val="26"/>
                <w:szCs w:val="26"/>
                <w:lang w:val="uk-UA"/>
              </w:rPr>
              <w:t>ня</w:t>
            </w:r>
            <w:r w:rsidRPr="00B42C52">
              <w:rPr>
                <w:sz w:val="26"/>
                <w:szCs w:val="26"/>
                <w:lang w:val="uk-UA"/>
              </w:rPr>
              <w:t xml:space="preserve"> буд</w:t>
            </w:r>
            <w:r>
              <w:rPr>
                <w:sz w:val="26"/>
                <w:szCs w:val="26"/>
                <w:lang w:val="uk-UA"/>
              </w:rPr>
              <w:t>е</w:t>
            </w:r>
            <w:r w:rsidRPr="00B42C52">
              <w:rPr>
                <w:sz w:val="26"/>
                <w:szCs w:val="26"/>
                <w:lang w:val="uk-UA"/>
              </w:rPr>
              <w:t xml:space="preserve"> використовуватись статистичний метод одержання результатів відстеження.</w:t>
            </w:r>
          </w:p>
        </w:tc>
      </w:tr>
      <w:tr w:rsidR="00D1194C" w:rsidRPr="00B42C52" w:rsidTr="006C093D">
        <w:tc>
          <w:tcPr>
            <w:tcW w:w="518" w:type="dxa"/>
          </w:tcPr>
          <w:p w:rsidR="00D1194C" w:rsidRPr="00B42C52" w:rsidRDefault="00D1194C" w:rsidP="006C093D">
            <w:pPr>
              <w:jc w:val="center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2470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 xml:space="preserve">Дані та припущення, на основі яких </w:t>
            </w:r>
            <w:r w:rsidRPr="00B42C52">
              <w:rPr>
                <w:sz w:val="26"/>
                <w:szCs w:val="26"/>
                <w:lang w:val="uk-UA"/>
              </w:rPr>
              <w:lastRenderedPageBreak/>
              <w:t>відстежувалася результативність, способи одержання даних</w:t>
            </w:r>
          </w:p>
        </w:tc>
        <w:tc>
          <w:tcPr>
            <w:tcW w:w="7380" w:type="dxa"/>
          </w:tcPr>
          <w:p w:rsidR="00D1194C" w:rsidRPr="00B42C52" w:rsidRDefault="00D1194C" w:rsidP="006C093D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 xml:space="preserve">  </w:t>
            </w:r>
            <w:proofErr w:type="spellStart"/>
            <w:r w:rsidRPr="00B42C52">
              <w:rPr>
                <w:sz w:val="26"/>
                <w:szCs w:val="26"/>
              </w:rPr>
              <w:t>Основн</w:t>
            </w:r>
            <w:proofErr w:type="spellEnd"/>
            <w:r w:rsidRPr="00B42C52">
              <w:rPr>
                <w:sz w:val="26"/>
                <w:szCs w:val="26"/>
                <w:lang w:val="uk-UA"/>
              </w:rPr>
              <w:t>і</w:t>
            </w:r>
            <w:r w:rsidRPr="00B42C52">
              <w:rPr>
                <w:sz w:val="26"/>
                <w:szCs w:val="26"/>
              </w:rPr>
              <w:t xml:space="preserve"> </w:t>
            </w:r>
            <w:proofErr w:type="spellStart"/>
            <w:r w:rsidRPr="00B42C52">
              <w:rPr>
                <w:sz w:val="26"/>
                <w:szCs w:val="26"/>
              </w:rPr>
              <w:t>показни</w:t>
            </w:r>
            <w:r w:rsidRPr="00B42C52">
              <w:rPr>
                <w:sz w:val="26"/>
                <w:szCs w:val="26"/>
                <w:lang w:val="uk-UA"/>
              </w:rPr>
              <w:t>ки</w:t>
            </w:r>
            <w:proofErr w:type="spellEnd"/>
            <w:r w:rsidRPr="00B42C52">
              <w:rPr>
                <w:sz w:val="26"/>
                <w:szCs w:val="26"/>
                <w:lang w:val="uk-UA"/>
              </w:rPr>
              <w:t xml:space="preserve"> </w:t>
            </w:r>
            <w:r w:rsidRPr="00B42C52">
              <w:rPr>
                <w:sz w:val="26"/>
                <w:szCs w:val="26"/>
              </w:rPr>
              <w:t xml:space="preserve"> </w:t>
            </w:r>
            <w:proofErr w:type="spellStart"/>
            <w:r w:rsidRPr="00B42C52">
              <w:rPr>
                <w:sz w:val="26"/>
                <w:szCs w:val="26"/>
              </w:rPr>
              <w:t>результативності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proofErr w:type="spellStart"/>
            <w:r w:rsidRPr="00B42C52">
              <w:rPr>
                <w:sz w:val="26"/>
                <w:szCs w:val="26"/>
              </w:rPr>
              <w:t>дії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proofErr w:type="gramStart"/>
            <w:r w:rsidRPr="00B42C52">
              <w:rPr>
                <w:sz w:val="26"/>
                <w:szCs w:val="26"/>
              </w:rPr>
              <w:t>регуляторного</w:t>
            </w:r>
            <w:proofErr w:type="gramEnd"/>
            <w:r w:rsidRPr="00B42C52">
              <w:rPr>
                <w:sz w:val="26"/>
                <w:szCs w:val="26"/>
              </w:rPr>
              <w:t xml:space="preserve"> акту</w:t>
            </w:r>
            <w:r w:rsidRPr="00B42C52">
              <w:rPr>
                <w:sz w:val="26"/>
                <w:szCs w:val="26"/>
                <w:lang w:val="uk-UA"/>
              </w:rPr>
              <w:t>:</w:t>
            </w:r>
          </w:p>
          <w:p w:rsidR="00D1194C" w:rsidRPr="00B42C52" w:rsidRDefault="00D1194C" w:rsidP="00D1194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B42C52">
              <w:rPr>
                <w:sz w:val="26"/>
                <w:szCs w:val="26"/>
              </w:rPr>
              <w:t>кількість</w:t>
            </w:r>
            <w:proofErr w:type="spellEnd"/>
            <w:r w:rsidRPr="00B42C52">
              <w:rPr>
                <w:sz w:val="26"/>
                <w:szCs w:val="26"/>
                <w:lang w:val="uk-UA"/>
              </w:rPr>
              <w:t xml:space="preserve"> платників податку на нерухоме майно, відмінне від земельної ділянки;</w:t>
            </w:r>
          </w:p>
          <w:p w:rsidR="00D1194C" w:rsidRPr="00B42C52" w:rsidRDefault="00D1194C" w:rsidP="00D1194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lastRenderedPageBreak/>
              <w:t xml:space="preserve">сума надходжень до </w:t>
            </w:r>
            <w:r>
              <w:rPr>
                <w:sz w:val="26"/>
                <w:szCs w:val="26"/>
                <w:lang w:val="uk-UA"/>
              </w:rPr>
              <w:t xml:space="preserve">сільського </w:t>
            </w:r>
            <w:r w:rsidRPr="00B42C52">
              <w:rPr>
                <w:sz w:val="26"/>
                <w:szCs w:val="26"/>
                <w:lang w:val="uk-UA"/>
              </w:rPr>
              <w:t xml:space="preserve"> бюджету від податку на нерухоме</w:t>
            </w:r>
            <w:r w:rsidRPr="00B42C52">
              <w:rPr>
                <w:sz w:val="26"/>
                <w:szCs w:val="26"/>
              </w:rPr>
              <w:t xml:space="preserve"> </w:t>
            </w:r>
            <w:r w:rsidRPr="00B42C52">
              <w:rPr>
                <w:sz w:val="26"/>
                <w:szCs w:val="26"/>
                <w:lang w:val="uk-UA"/>
              </w:rPr>
              <w:t>майно відмінне від земельної ділянки.</w:t>
            </w:r>
          </w:p>
          <w:p w:rsidR="00D1194C" w:rsidRPr="00B42C52" w:rsidRDefault="00D1194C" w:rsidP="006C093D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</w:rPr>
              <w:t xml:space="preserve">Для </w:t>
            </w:r>
            <w:proofErr w:type="spellStart"/>
            <w:r w:rsidRPr="00B42C52">
              <w:rPr>
                <w:sz w:val="26"/>
                <w:szCs w:val="26"/>
              </w:rPr>
              <w:t>визначення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proofErr w:type="spellStart"/>
            <w:r w:rsidRPr="00B42C52">
              <w:rPr>
                <w:sz w:val="26"/>
                <w:szCs w:val="26"/>
              </w:rPr>
              <w:t>кількісного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proofErr w:type="spellStart"/>
            <w:r w:rsidRPr="00B42C52">
              <w:rPr>
                <w:sz w:val="26"/>
                <w:szCs w:val="26"/>
              </w:rPr>
              <w:t>значення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proofErr w:type="spellStart"/>
            <w:r w:rsidRPr="00B42C52">
              <w:rPr>
                <w:sz w:val="26"/>
                <w:szCs w:val="26"/>
              </w:rPr>
              <w:t>статистичних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proofErr w:type="spellStart"/>
            <w:r w:rsidRPr="00B42C52">
              <w:rPr>
                <w:sz w:val="26"/>
                <w:szCs w:val="26"/>
              </w:rPr>
              <w:t>показників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proofErr w:type="spellStart"/>
            <w:r w:rsidRPr="00B42C52">
              <w:rPr>
                <w:sz w:val="26"/>
                <w:szCs w:val="26"/>
              </w:rPr>
              <w:t>результативності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r w:rsidRPr="00B42C52">
              <w:rPr>
                <w:sz w:val="26"/>
                <w:szCs w:val="26"/>
                <w:lang w:val="uk-UA"/>
              </w:rPr>
              <w:t xml:space="preserve">будуть </w:t>
            </w:r>
            <w:proofErr w:type="spellStart"/>
            <w:r w:rsidRPr="00B42C52">
              <w:rPr>
                <w:sz w:val="26"/>
                <w:szCs w:val="26"/>
              </w:rPr>
              <w:t>використову</w:t>
            </w:r>
            <w:r w:rsidRPr="00B42C52">
              <w:rPr>
                <w:sz w:val="26"/>
                <w:szCs w:val="26"/>
                <w:lang w:val="uk-UA"/>
              </w:rPr>
              <w:t>ватись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proofErr w:type="spellStart"/>
            <w:r w:rsidRPr="00B42C52">
              <w:rPr>
                <w:sz w:val="26"/>
                <w:szCs w:val="26"/>
              </w:rPr>
              <w:t>офіційні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 xml:space="preserve">аналітичні та </w:t>
            </w:r>
            <w:proofErr w:type="spellStart"/>
            <w:r w:rsidRPr="00B42C52">
              <w:rPr>
                <w:sz w:val="26"/>
                <w:szCs w:val="26"/>
              </w:rPr>
              <w:t>статистичні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42C52">
              <w:rPr>
                <w:sz w:val="26"/>
                <w:szCs w:val="26"/>
              </w:rPr>
              <w:t>дан</w:t>
            </w:r>
            <w:proofErr w:type="gramEnd"/>
            <w:r w:rsidRPr="00B42C52">
              <w:rPr>
                <w:sz w:val="26"/>
                <w:szCs w:val="26"/>
              </w:rPr>
              <w:t>і</w:t>
            </w:r>
            <w:proofErr w:type="spellEnd"/>
            <w:r w:rsidRPr="00B42C52">
              <w:rPr>
                <w:sz w:val="26"/>
                <w:szCs w:val="26"/>
              </w:rPr>
              <w:t xml:space="preserve"> </w:t>
            </w:r>
            <w:r w:rsidRPr="00B42C52">
              <w:rPr>
                <w:bCs/>
                <w:sz w:val="26"/>
                <w:szCs w:val="26"/>
                <w:lang w:val="uk-UA"/>
              </w:rPr>
              <w:t>ОДПІ.</w:t>
            </w:r>
          </w:p>
        </w:tc>
      </w:tr>
      <w:tr w:rsidR="00D1194C" w:rsidRPr="00B42C52" w:rsidTr="006C093D">
        <w:tc>
          <w:tcPr>
            <w:tcW w:w="518" w:type="dxa"/>
          </w:tcPr>
          <w:p w:rsidR="00D1194C" w:rsidRPr="00B42C52" w:rsidRDefault="00D1194C" w:rsidP="006C093D">
            <w:pPr>
              <w:jc w:val="center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lastRenderedPageBreak/>
              <w:t>8.</w:t>
            </w:r>
          </w:p>
        </w:tc>
        <w:tc>
          <w:tcPr>
            <w:tcW w:w="2470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Кількісні та якісні значення показників результативності</w:t>
            </w:r>
          </w:p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</w:p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</w:p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</w:p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380" w:type="dxa"/>
          </w:tcPr>
          <w:p w:rsidR="00D1194C" w:rsidRPr="00B42C52" w:rsidRDefault="00D1194C" w:rsidP="006C093D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C52">
              <w:rPr>
                <w:color w:val="000000"/>
                <w:sz w:val="26"/>
                <w:szCs w:val="26"/>
                <w:lang w:val="uk-UA"/>
              </w:rPr>
              <w:t xml:space="preserve">    Податковим кодексом України від 02.12.2010р. № 2755-</w:t>
            </w:r>
            <w:r w:rsidRPr="00B42C52">
              <w:rPr>
                <w:color w:val="000000"/>
                <w:sz w:val="26"/>
                <w:szCs w:val="26"/>
                <w:lang w:val="en-US"/>
              </w:rPr>
              <w:t>VI</w:t>
            </w:r>
            <w:r w:rsidRPr="00B42C52">
              <w:rPr>
                <w:color w:val="000000"/>
                <w:sz w:val="26"/>
                <w:szCs w:val="26"/>
                <w:lang w:val="uk-UA"/>
              </w:rPr>
              <w:t xml:space="preserve"> визначено, що місцеві ради обов’язково встановлюють податок на нерухоме майно, відмінне від земельної ділянки. </w:t>
            </w:r>
          </w:p>
          <w:p w:rsidR="00D1194C" w:rsidRPr="00B42C52" w:rsidRDefault="00D1194C" w:rsidP="006C093D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C52">
              <w:rPr>
                <w:color w:val="000000"/>
                <w:sz w:val="26"/>
                <w:szCs w:val="26"/>
                <w:lang w:val="uk-UA"/>
              </w:rPr>
              <w:t xml:space="preserve">   Податок на нерухоме майно, відмінне від земельної ділянки не справлявся. Відповідно до ст. 10, 12, 265 Податкового кодексу України, даний вид податку буде справлятись з 01.07.2012 року.</w:t>
            </w:r>
          </w:p>
          <w:p w:rsidR="00D1194C" w:rsidRPr="00B42C52" w:rsidRDefault="00D1194C" w:rsidP="006C093D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C52">
              <w:rPr>
                <w:color w:val="000000"/>
                <w:sz w:val="26"/>
                <w:szCs w:val="26"/>
                <w:lang w:val="uk-UA"/>
              </w:rPr>
              <w:t xml:space="preserve">      Платниками податку на нерухоме майно, відмінне від земельної ділянки, є фізичні та юридичні особи, в тому числі нерезиденти, які є власниками об’єктів житлової нерухомості.</w:t>
            </w:r>
          </w:p>
          <w:p w:rsidR="00D1194C" w:rsidRPr="00064DA2" w:rsidRDefault="00D1194C" w:rsidP="006C093D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C52">
              <w:rPr>
                <w:color w:val="000000"/>
                <w:sz w:val="26"/>
                <w:szCs w:val="26"/>
                <w:lang w:val="uk-UA"/>
              </w:rPr>
              <w:t xml:space="preserve">  Даним проектом рішення визначено базу оподаткування, ставки та механізм справляння податку на нерухоме майно, відмінне від земельної ділянки.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Податок сплачується один раз на рік.</w:t>
            </w:r>
          </w:p>
          <w:p w:rsidR="00D1194C" w:rsidRDefault="00D1194C" w:rsidP="006C093D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</w:p>
          <w:p w:rsidR="00D1194C" w:rsidRPr="00B42C52" w:rsidRDefault="00D1194C" w:rsidP="006C093D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B42C52">
              <w:rPr>
                <w:b/>
                <w:color w:val="000000"/>
                <w:sz w:val="26"/>
                <w:szCs w:val="26"/>
                <w:lang w:val="uk-UA"/>
              </w:rPr>
              <w:t>Проектом рішення передбачено встановити наступні ставки податку</w:t>
            </w:r>
            <w:r>
              <w:rPr>
                <w:b/>
                <w:color w:val="000000"/>
                <w:sz w:val="26"/>
                <w:szCs w:val="26"/>
                <w:lang w:val="uk-UA"/>
              </w:rPr>
              <w:t xml:space="preserve"> за 1 </w:t>
            </w:r>
            <w:proofErr w:type="spellStart"/>
            <w:r>
              <w:rPr>
                <w:b/>
                <w:color w:val="000000"/>
                <w:sz w:val="26"/>
                <w:szCs w:val="26"/>
                <w:lang w:val="uk-UA"/>
              </w:rPr>
              <w:t>кв.м</w:t>
            </w:r>
            <w:proofErr w:type="spellEnd"/>
            <w:r>
              <w:rPr>
                <w:b/>
                <w:color w:val="000000"/>
                <w:sz w:val="26"/>
                <w:szCs w:val="26"/>
                <w:lang w:val="uk-UA"/>
              </w:rPr>
              <w:t>. житлової нерухомості</w:t>
            </w:r>
          </w:p>
          <w:tbl>
            <w:tblPr>
              <w:tblW w:w="70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767"/>
              <w:gridCol w:w="2340"/>
              <w:gridCol w:w="1983"/>
            </w:tblGrid>
            <w:tr w:rsidR="00D1194C" w:rsidRPr="0012544D" w:rsidTr="006C093D">
              <w:tc>
                <w:tcPr>
                  <w:tcW w:w="2767" w:type="dxa"/>
                  <w:tcBorders>
                    <w:top w:val="thinThickSmallGap" w:sz="24" w:space="0" w:color="auto"/>
                    <w:left w:val="thinThickSmallGap" w:sz="24" w:space="0" w:color="auto"/>
                    <w:bottom w:val="single" w:sz="4" w:space="0" w:color="auto"/>
                  </w:tcBorders>
                </w:tcPr>
                <w:p w:rsidR="00D1194C" w:rsidRPr="0012544D" w:rsidRDefault="00D1194C" w:rsidP="006C093D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color w:val="000000"/>
                      <w:sz w:val="24"/>
                      <w:lang w:val="uk-UA"/>
                    </w:rPr>
                    <w:t>Житлова площа</w:t>
                  </w:r>
                </w:p>
              </w:tc>
              <w:tc>
                <w:tcPr>
                  <w:tcW w:w="2340" w:type="dxa"/>
                  <w:tcBorders>
                    <w:top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для квартир </w:t>
                  </w:r>
                </w:p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до 240 </w:t>
                  </w:r>
                  <w:proofErr w:type="spellStart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кв.м</w:t>
                  </w:r>
                  <w:proofErr w:type="spellEnd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thinThickSmallGap" w:sz="24" w:space="0" w:color="auto"/>
                    <w:right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для житлових будинків </w:t>
                  </w:r>
                </w:p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до 500 </w:t>
                  </w:r>
                  <w:proofErr w:type="spellStart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кв.м</w:t>
                  </w:r>
                  <w:proofErr w:type="spellEnd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.</w:t>
                  </w:r>
                </w:p>
              </w:tc>
            </w:tr>
            <w:tr w:rsidR="00D1194C" w:rsidRPr="0012544D" w:rsidTr="006C093D">
              <w:tc>
                <w:tcPr>
                  <w:tcW w:w="2767" w:type="dxa"/>
                  <w:tcBorders>
                    <w:top w:val="single" w:sz="4" w:space="0" w:color="auto"/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color w:val="000000"/>
                      <w:sz w:val="24"/>
                      <w:lang w:val="uk-UA"/>
                    </w:rPr>
                    <w:t>Ставка податку</w:t>
                  </w:r>
                </w:p>
              </w:tc>
              <w:tc>
                <w:tcPr>
                  <w:tcW w:w="4323" w:type="dxa"/>
                  <w:gridSpan w:val="2"/>
                  <w:tcBorders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color w:val="000000"/>
                      <w:sz w:val="24"/>
                      <w:lang w:val="uk-UA"/>
                    </w:rPr>
                    <w:t>1% розміру мін. ЗП</w:t>
                  </w:r>
                </w:p>
              </w:tc>
            </w:tr>
            <w:tr w:rsidR="00D1194C" w:rsidRPr="0012544D" w:rsidTr="006C093D">
              <w:tc>
                <w:tcPr>
                  <w:tcW w:w="2767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color w:val="000000"/>
                      <w:sz w:val="24"/>
                      <w:lang w:val="uk-UA"/>
                    </w:rPr>
                    <w:t>Житлова нерухомість, яка перебуває у власності фізичної особи  – платника податку*</w:t>
                  </w:r>
                </w:p>
              </w:tc>
              <w:tc>
                <w:tcPr>
                  <w:tcW w:w="2340" w:type="dxa"/>
                  <w:tcBorders>
                    <w:top w:val="thinThickSmallGap" w:sz="24" w:space="0" w:color="auto"/>
                    <w:bottom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ставка податку для квартир </w:t>
                  </w:r>
                </w:p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зменшується на 120 </w:t>
                  </w:r>
                  <w:proofErr w:type="spellStart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кв.м</w:t>
                  </w:r>
                  <w:proofErr w:type="spellEnd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ставка податку для житлового будинку </w:t>
                  </w:r>
                </w:p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зменшується на 250  </w:t>
                  </w:r>
                  <w:proofErr w:type="spellStart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кв.м</w:t>
                  </w:r>
                  <w:proofErr w:type="spellEnd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.</w:t>
                  </w:r>
                </w:p>
              </w:tc>
            </w:tr>
            <w:tr w:rsidR="00D1194C" w:rsidRPr="0012544D" w:rsidTr="006C093D">
              <w:tc>
                <w:tcPr>
                  <w:tcW w:w="2767" w:type="dxa"/>
                  <w:tcBorders>
                    <w:top w:val="thinThickSmallGap" w:sz="24" w:space="0" w:color="auto"/>
                    <w:left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color w:val="000000"/>
                      <w:sz w:val="24"/>
                      <w:lang w:val="uk-UA"/>
                    </w:rPr>
                    <w:t>Житлова площа</w:t>
                  </w:r>
                </w:p>
              </w:tc>
              <w:tc>
                <w:tcPr>
                  <w:tcW w:w="2340" w:type="dxa"/>
                  <w:tcBorders>
                    <w:top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для квартир </w:t>
                  </w:r>
                </w:p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en-US"/>
                    </w:rPr>
                    <w:lastRenderedPageBreak/>
                    <w:t>&gt;</w:t>
                  </w: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 240 </w:t>
                  </w:r>
                  <w:proofErr w:type="spellStart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кв.м</w:t>
                  </w:r>
                  <w:proofErr w:type="spellEnd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thinThickSmallGap" w:sz="24" w:space="0" w:color="auto"/>
                    <w:right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lastRenderedPageBreak/>
                    <w:t xml:space="preserve">для житлових будинків </w:t>
                  </w:r>
                </w:p>
                <w:p w:rsidR="00D1194C" w:rsidRPr="0012544D" w:rsidRDefault="00D1194C" w:rsidP="006C093D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b/>
                      <w:color w:val="000000"/>
                      <w:sz w:val="24"/>
                    </w:rPr>
                    <w:lastRenderedPageBreak/>
                    <w:t>&gt;</w:t>
                  </w:r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 xml:space="preserve"> 500 </w:t>
                  </w:r>
                  <w:proofErr w:type="spellStart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кв.м</w:t>
                  </w:r>
                  <w:proofErr w:type="spellEnd"/>
                  <w:r w:rsidRPr="0012544D">
                    <w:rPr>
                      <w:b/>
                      <w:color w:val="000000"/>
                      <w:sz w:val="24"/>
                      <w:lang w:val="uk-UA"/>
                    </w:rPr>
                    <w:t>.</w:t>
                  </w:r>
                </w:p>
              </w:tc>
            </w:tr>
            <w:tr w:rsidR="00D1194C" w:rsidRPr="0012544D" w:rsidTr="006C093D">
              <w:tc>
                <w:tcPr>
                  <w:tcW w:w="2767" w:type="dxa"/>
                  <w:tcBorders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color w:val="000000"/>
                      <w:sz w:val="24"/>
                      <w:lang w:val="uk-UA"/>
                    </w:rPr>
                    <w:lastRenderedPageBreak/>
                    <w:t xml:space="preserve">Ставка податку </w:t>
                  </w:r>
                </w:p>
                <w:p w:rsidR="00D1194C" w:rsidRPr="0012544D" w:rsidRDefault="00D1194C" w:rsidP="006C093D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4323" w:type="dxa"/>
                  <w:gridSpan w:val="2"/>
                  <w:tcBorders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D1194C" w:rsidRPr="0012544D" w:rsidRDefault="00D1194C" w:rsidP="006C093D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12544D">
                    <w:rPr>
                      <w:color w:val="000000"/>
                      <w:sz w:val="24"/>
                      <w:lang w:val="uk-UA"/>
                    </w:rPr>
                    <w:t>2,7 % розміру мін. ЗП</w:t>
                  </w:r>
                </w:p>
              </w:tc>
            </w:tr>
          </w:tbl>
          <w:p w:rsidR="00D1194C" w:rsidRPr="00064DA2" w:rsidRDefault="00D1194C" w:rsidP="006C093D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* пільга із сплати податку на нерухоме майно, відмінне від земельної ділянки, застосовується</w:t>
            </w:r>
            <w:r>
              <w:rPr>
                <w:sz w:val="26"/>
                <w:szCs w:val="26"/>
                <w:lang w:val="uk-UA"/>
              </w:rPr>
              <w:t xml:space="preserve"> на</w:t>
            </w:r>
            <w:r w:rsidRPr="00064DA2">
              <w:rPr>
                <w:sz w:val="26"/>
                <w:szCs w:val="26"/>
                <w:lang w:val="uk-UA"/>
              </w:rPr>
              <w:t xml:space="preserve"> об’єкт житлової нерухомості, що перебуває у власності фізичної особи - платника податку</w:t>
            </w:r>
            <w:r>
              <w:rPr>
                <w:color w:val="000000"/>
                <w:sz w:val="26"/>
                <w:szCs w:val="26"/>
                <w:lang w:val="uk-UA"/>
              </w:rPr>
              <w:t>. Юридичним особам пільга не передбачена.</w:t>
            </w:r>
          </w:p>
        </w:tc>
      </w:tr>
      <w:tr w:rsidR="00D1194C" w:rsidRPr="00B42C52" w:rsidTr="006C093D">
        <w:tc>
          <w:tcPr>
            <w:tcW w:w="518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lastRenderedPageBreak/>
              <w:t>9.</w:t>
            </w:r>
          </w:p>
        </w:tc>
        <w:tc>
          <w:tcPr>
            <w:tcW w:w="2470" w:type="dxa"/>
          </w:tcPr>
          <w:p w:rsidR="00D1194C" w:rsidRPr="00B42C52" w:rsidRDefault="00D1194C" w:rsidP="006C093D">
            <w:pPr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7380" w:type="dxa"/>
          </w:tcPr>
          <w:p w:rsidR="00D1194C" w:rsidRPr="00B42C52" w:rsidRDefault="00D1194C" w:rsidP="006C093D">
            <w:pPr>
              <w:jc w:val="both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 xml:space="preserve">    Прийняття регуляторного акту сприятиме: дотриманню вимог Податкового кодексу України в частині встановлення податку на нерухоме майно, відмінне від земельної ділянки, як обов’язкового податку; зміцненню ресурсної бази місцевого бюджету.</w:t>
            </w:r>
          </w:p>
          <w:p w:rsidR="00D1194C" w:rsidRPr="00B42C52" w:rsidRDefault="00D1194C" w:rsidP="006C093D">
            <w:pPr>
              <w:jc w:val="both"/>
              <w:rPr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 xml:space="preserve">    Повторне відстеження результативності регуляторного акту буде здійснюватись через рік з дня набрання ним чинності.</w:t>
            </w:r>
          </w:p>
          <w:p w:rsidR="00D1194C" w:rsidRPr="00B42C52" w:rsidRDefault="00D1194C" w:rsidP="006C093D">
            <w:pPr>
              <w:jc w:val="both"/>
              <w:rPr>
                <w:color w:val="FF0000"/>
                <w:sz w:val="26"/>
                <w:szCs w:val="26"/>
                <w:lang w:val="uk-UA"/>
              </w:rPr>
            </w:pPr>
            <w:r w:rsidRPr="00B42C52">
              <w:rPr>
                <w:sz w:val="26"/>
                <w:szCs w:val="26"/>
                <w:lang w:val="uk-UA"/>
              </w:rPr>
              <w:t xml:space="preserve">     Періодичні відстеження результативності будуть здійснюватись раз на кожні три роки, починаючи від дня закінчення заходів з повторного відстеження результативності.</w:t>
            </w:r>
          </w:p>
        </w:tc>
      </w:tr>
    </w:tbl>
    <w:p w:rsidR="00D1194C" w:rsidRPr="00B42C52" w:rsidRDefault="00D1194C" w:rsidP="00D1194C">
      <w:pPr>
        <w:rPr>
          <w:b/>
          <w:bCs/>
          <w:sz w:val="24"/>
          <w:lang w:val="uk-UA"/>
        </w:rPr>
      </w:pPr>
    </w:p>
    <w:p w:rsidR="00D1194C" w:rsidRDefault="00D1194C" w:rsidP="00D1194C">
      <w:pPr>
        <w:rPr>
          <w:b/>
          <w:bCs/>
          <w:szCs w:val="28"/>
          <w:lang w:val="uk-UA"/>
        </w:rPr>
      </w:pPr>
    </w:p>
    <w:p w:rsidR="00D1194C" w:rsidRPr="00B42C52" w:rsidRDefault="00D1194C" w:rsidP="00D1194C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Сільський голова                                                                                    О.П. Романюк</w:t>
      </w:r>
    </w:p>
    <w:p w:rsidR="00D1194C" w:rsidRPr="00B42C52" w:rsidRDefault="00D1194C" w:rsidP="00D1194C">
      <w:pPr>
        <w:rPr>
          <w:b/>
          <w:bCs/>
          <w:szCs w:val="28"/>
          <w:lang w:val="uk-UA"/>
        </w:rPr>
      </w:pPr>
    </w:p>
    <w:p w:rsidR="00D1194C" w:rsidRPr="00B42C52" w:rsidRDefault="00D1194C" w:rsidP="00D1194C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Головний бухгалтер сільської ради                   </w:t>
      </w:r>
      <w:r w:rsidRPr="00B42C52"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 xml:space="preserve">                     О.В. </w:t>
      </w:r>
      <w:proofErr w:type="spellStart"/>
      <w:r>
        <w:rPr>
          <w:b/>
          <w:bCs/>
          <w:szCs w:val="28"/>
          <w:lang w:val="uk-UA"/>
        </w:rPr>
        <w:t>Пікута</w:t>
      </w:r>
      <w:proofErr w:type="spellEnd"/>
    </w:p>
    <w:p w:rsidR="00D9154C" w:rsidRPr="00D1194C" w:rsidRDefault="00D9154C">
      <w:pPr>
        <w:rPr>
          <w:lang w:val="uk-UA"/>
        </w:rPr>
      </w:pPr>
    </w:p>
    <w:sectPr w:rsidR="00D9154C" w:rsidRPr="00D1194C" w:rsidSect="00D91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472FD"/>
    <w:multiLevelType w:val="hybridMultilevel"/>
    <w:tmpl w:val="99DCF6F2"/>
    <w:lvl w:ilvl="0" w:tplc="DFE87EF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94C"/>
    <w:rsid w:val="002D51D4"/>
    <w:rsid w:val="00D1194C"/>
    <w:rsid w:val="00D9154C"/>
    <w:rsid w:val="00F9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1194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1194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605</Words>
  <Characters>3450</Characters>
  <Application>Microsoft Office Word</Application>
  <DocSecurity>0</DocSecurity>
  <Lines>28</Lines>
  <Paragraphs>8</Paragraphs>
  <ScaleCrop>false</ScaleCrop>
  <Company>Microsoft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2013-05-14T19:17:00Z</dcterms:created>
  <dcterms:modified xsi:type="dcterms:W3CDTF">2013-05-15T05:14:00Z</dcterms:modified>
</cp:coreProperties>
</file>